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spacing w:val="-12"/>
        </w:rPr>
        <w:t>Risiko-</w:t>
      </w:r>
      <w:r>
        <w:rPr>
          <w:b w:val="0"/>
          <w:spacing w:val="-14"/>
        </w:rPr>
        <w:t> </w:t>
      </w:r>
      <w:r>
        <w:rPr>
          <w:b w:val="0"/>
          <w:spacing w:val="-12"/>
        </w:rPr>
        <w:t>og</w:t>
      </w:r>
      <w:r>
        <w:rPr>
          <w:b w:val="0"/>
          <w:spacing w:val="-14"/>
        </w:rPr>
        <w:t> </w:t>
      </w:r>
      <w:r>
        <w:rPr>
          <w:b w:val="0"/>
          <w:spacing w:val="-12"/>
        </w:rPr>
        <w:t>sårbarhetsanalyse</w:t>
      </w:r>
    </w:p>
    <w:p>
      <w:pPr>
        <w:spacing w:before="237"/>
        <w:ind w:left="115" w:right="0" w:firstLine="0"/>
        <w:jc w:val="left"/>
        <w:rPr>
          <w:sz w:val="32"/>
        </w:rPr>
      </w:pPr>
      <w:r>
        <w:rPr>
          <w:sz w:val="32"/>
        </w:rPr>
        <w:t>Sjekkliste</w:t>
      </w:r>
      <w:r>
        <w:rPr>
          <w:spacing w:val="-11"/>
          <w:sz w:val="32"/>
        </w:rPr>
        <w:t> </w:t>
      </w:r>
      <w:r>
        <w:rPr>
          <w:sz w:val="32"/>
        </w:rPr>
        <w:t>for</w:t>
      </w:r>
      <w:r>
        <w:rPr>
          <w:spacing w:val="-11"/>
          <w:sz w:val="32"/>
        </w:rPr>
        <w:t> </w:t>
      </w:r>
      <w:r>
        <w:rPr>
          <w:sz w:val="32"/>
        </w:rPr>
        <w:t>vurderte</w:t>
      </w:r>
      <w:r>
        <w:rPr>
          <w:spacing w:val="-10"/>
          <w:sz w:val="32"/>
        </w:rPr>
        <w:t> </w:t>
      </w:r>
      <w:r>
        <w:rPr>
          <w:spacing w:val="-4"/>
          <w:sz w:val="32"/>
        </w:rPr>
        <w:t>farer</w:t>
      </w:r>
    </w:p>
    <w:p>
      <w:pPr>
        <w:pStyle w:val="BodyText"/>
        <w:spacing w:before="192"/>
        <w:ind w:left="115" w:firstLine="0"/>
        <w:rPr>
          <w:u w:val="none"/>
        </w:rPr>
      </w:pPr>
      <w:r>
        <w:rPr>
          <w:u w:val="none"/>
        </w:rPr>
        <w:t>NB!</w:t>
      </w:r>
      <w:r>
        <w:rPr>
          <w:spacing w:val="-3"/>
          <w:u w:val="none"/>
        </w:rPr>
        <w:t> </w:t>
      </w:r>
      <w:r>
        <w:rPr>
          <w:u w:val="none"/>
        </w:rPr>
        <w:t>Dette</w:t>
      </w:r>
      <w:r>
        <w:rPr>
          <w:spacing w:val="-5"/>
          <w:u w:val="none"/>
        </w:rPr>
        <w:t> </w:t>
      </w:r>
      <w:r>
        <w:rPr>
          <w:u w:val="none"/>
        </w:rPr>
        <w:t>er</w:t>
      </w:r>
      <w:r>
        <w:rPr>
          <w:spacing w:val="-3"/>
          <w:u w:val="none"/>
        </w:rPr>
        <w:t> </w:t>
      </w:r>
      <w:r>
        <w:rPr>
          <w:u w:val="none"/>
        </w:rPr>
        <w:t>ikke</w:t>
      </w:r>
      <w:r>
        <w:rPr>
          <w:spacing w:val="-5"/>
          <w:u w:val="none"/>
        </w:rPr>
        <w:t> </w:t>
      </w:r>
      <w:r>
        <w:rPr>
          <w:u w:val="none"/>
        </w:rPr>
        <w:t>en</w:t>
      </w:r>
      <w:r>
        <w:rPr>
          <w:spacing w:val="-4"/>
          <w:u w:val="none"/>
        </w:rPr>
        <w:t> </w:t>
      </w:r>
      <w:r>
        <w:rPr>
          <w:u w:val="none"/>
        </w:rPr>
        <w:t>utfyllende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liste</w:t>
      </w:r>
    </w:p>
    <w:p>
      <w:pPr>
        <w:pStyle w:val="BodyText"/>
        <w:ind w:left="0" w:firstLine="0"/>
        <w:rPr>
          <w:sz w:val="15"/>
          <w:u w:val="none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1639"/>
        <w:gridCol w:w="1615"/>
        <w:gridCol w:w="2969"/>
      </w:tblGrid>
      <w:tr>
        <w:trPr>
          <w:trHeight w:val="479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68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Naturgitte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farer</w:t>
            </w:r>
          </w:p>
        </w:tc>
      </w:tr>
      <w:tr>
        <w:trPr>
          <w:trHeight w:val="803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7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7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Skred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Ustabile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grunnforhold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(kvikkleire/utglidning)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Flom/stormflo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Overvann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Vind/nedbør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(ekstremvær)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Skog-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lyngbrann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Radon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67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Kritisk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infrastruktur/samfunnsfunksjoner</w:t>
            </w:r>
          </w:p>
        </w:tc>
      </w:tr>
      <w:tr>
        <w:trPr>
          <w:trHeight w:val="806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Samferdsel/transport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Vannforsyning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Avløp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Kraftforsyning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Ekom/digitale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tjenester</w:t>
            </w:r>
          </w:p>
        </w:tc>
        <w:tc>
          <w:tcPr>
            <w:tcW w:w="1639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283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Helsetjenester</w:t>
            </w:r>
          </w:p>
        </w:tc>
        <w:tc>
          <w:tcPr>
            <w:tcW w:w="1639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spacing w:before="3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10" w:h="16840"/>
          <w:pgMar w:header="708" w:footer="0" w:top="2140" w:bottom="1633" w:left="1300" w:right="130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1639"/>
        <w:gridCol w:w="1615"/>
        <w:gridCol w:w="2969"/>
      </w:tblGrid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71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Virksomheter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kritiske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samfunnsfunksjoner</w:t>
            </w:r>
          </w:p>
        </w:tc>
      </w:tr>
      <w:tr>
        <w:trPr>
          <w:trHeight w:val="806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1341" w:hRule="atLeast"/>
        </w:trPr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Etablering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samfunnsviktig virksomhet (sykehus, barnehage mm.) som er spesielt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sårbar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bortfall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kritisk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infrastruktur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auto" w:before="1"/>
              <w:ind w:right="134"/>
              <w:rPr>
                <w:sz w:val="22"/>
              </w:rPr>
            </w:pPr>
            <w:r>
              <w:rPr>
                <w:color w:val="808080"/>
                <w:sz w:val="22"/>
              </w:rPr>
              <w:t>Velg et </w:t>
            </w: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Planlagt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virksomhet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sårbar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forhold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71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Virksomheter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som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representerer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spesiell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fare</w:t>
            </w:r>
          </w:p>
        </w:tc>
      </w:tr>
      <w:tr>
        <w:trPr>
          <w:trHeight w:val="805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Produksjon/lagring/transport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farlige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stoffer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2839" w:type="dxa"/>
          </w:tcPr>
          <w:p>
            <w:pPr>
              <w:pStyle w:val="TableParagraph"/>
              <w:ind w:right="133"/>
              <w:rPr>
                <w:sz w:val="22"/>
              </w:rPr>
            </w:pPr>
            <w:r>
              <w:rPr>
                <w:sz w:val="22"/>
              </w:rPr>
              <w:t>Det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risikovirksomheter nær/relativt nær planområdet som kan utgjøre en risiko hvis uønskede hendelser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inntreffer</w:t>
            </w:r>
          </w:p>
        </w:tc>
        <w:tc>
          <w:tcPr>
            <w:tcW w:w="1639" w:type="dxa"/>
          </w:tcPr>
          <w:p>
            <w:pPr>
              <w:pStyle w:val="TableParagraph"/>
              <w:ind w:right="134"/>
              <w:rPr>
                <w:sz w:val="22"/>
              </w:rPr>
            </w:pPr>
            <w:r>
              <w:rPr>
                <w:color w:val="808080"/>
                <w:sz w:val="22"/>
              </w:rPr>
              <w:t>Velg et </w:t>
            </w: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Utslipp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farlige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stoffer/kjemikalier/gass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4"/>
                <w:sz w:val="22"/>
              </w:rPr>
              <w:t>etc.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Virksomheten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faller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innenfor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storulykkeforskriften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Planområdet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ligger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innenfor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dambruddsone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839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Militært/sivilt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skytefelt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i/nær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planområdet</w:t>
            </w:r>
          </w:p>
        </w:tc>
        <w:tc>
          <w:tcPr>
            <w:tcW w:w="1639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spacing w:before="3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70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Farlige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omgivelser</w:t>
            </w:r>
          </w:p>
        </w:tc>
      </w:tr>
    </w:tbl>
    <w:p>
      <w:pPr>
        <w:spacing w:after="0" w:line="268" w:lineRule="exact"/>
        <w:jc w:val="center"/>
        <w:rPr>
          <w:sz w:val="22"/>
        </w:rPr>
        <w:sectPr>
          <w:type w:val="continuous"/>
          <w:pgSz w:w="11910" w:h="16840"/>
          <w:pgMar w:header="708" w:footer="0" w:top="2200" w:bottom="1535" w:left="1300" w:right="13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1639"/>
        <w:gridCol w:w="1615"/>
        <w:gridCol w:w="2969"/>
      </w:tblGrid>
      <w:tr>
        <w:trPr>
          <w:trHeight w:val="805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Vannmagasiner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usikker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nærheten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83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sz w:val="22"/>
              </w:rPr>
              <w:t>Terrengformasjoner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som utgjør spesiell fare 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ferdsel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(stup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etc.)</w:t>
            </w:r>
          </w:p>
        </w:tc>
        <w:tc>
          <w:tcPr>
            <w:tcW w:w="1639" w:type="dxa"/>
          </w:tcPr>
          <w:p>
            <w:pPr>
              <w:pStyle w:val="TableParagraph"/>
              <w:ind w:right="134"/>
              <w:rPr>
                <w:sz w:val="22"/>
              </w:rPr>
            </w:pPr>
            <w:r>
              <w:rPr>
                <w:color w:val="808080"/>
                <w:sz w:val="22"/>
              </w:rPr>
              <w:t>Velg et </w:t>
            </w: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66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Tidligere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bruk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planområdet</w:t>
            </w:r>
          </w:p>
        </w:tc>
      </w:tr>
      <w:tr>
        <w:trPr>
          <w:trHeight w:val="806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faren</w:t>
            </w:r>
          </w:p>
          <w:p>
            <w:pPr>
              <w:pStyle w:val="TableParagraph"/>
              <w:spacing w:line="270" w:lineRule="atLeast"/>
              <w:ind w:left="192" w:right="173" w:hanging="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relevant for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1072" w:hRule="atLeast"/>
        </w:trPr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Området er påvirket av tidligere virksomhet (forurenset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grunn,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tidligere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sjøbunn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etc.)</w:t>
            </w:r>
          </w:p>
        </w:tc>
        <w:tc>
          <w:tcPr>
            <w:tcW w:w="1639" w:type="dxa"/>
          </w:tcPr>
          <w:p>
            <w:pPr>
              <w:pStyle w:val="TableParagraph"/>
              <w:ind w:right="134"/>
              <w:rPr>
                <w:sz w:val="22"/>
              </w:rPr>
            </w:pPr>
            <w:r>
              <w:rPr>
                <w:color w:val="808080"/>
                <w:sz w:val="22"/>
              </w:rPr>
              <w:t>Velg et </w:t>
            </w: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spacing w:line="281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Området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vært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brukt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til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industrivirksomhet/deponi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Området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vært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brukt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til gruvevirksomhet (fare 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åpne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sjakter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etc.)</w:t>
            </w:r>
          </w:p>
        </w:tc>
        <w:tc>
          <w:tcPr>
            <w:tcW w:w="1639" w:type="dxa"/>
          </w:tcPr>
          <w:p>
            <w:pPr>
              <w:pStyle w:val="TableParagraph"/>
              <w:ind w:right="134"/>
              <w:rPr>
                <w:sz w:val="22"/>
              </w:rPr>
            </w:pPr>
            <w:r>
              <w:rPr>
                <w:color w:val="808080"/>
                <w:sz w:val="22"/>
              </w:rPr>
              <w:t>Velg et </w:t>
            </w: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Området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tidligere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militært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anlegg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70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Ulovlig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virksomhet</w:t>
            </w:r>
          </w:p>
        </w:tc>
      </w:tr>
      <w:tr>
        <w:trPr>
          <w:trHeight w:val="806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Tiltaket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(potensielt)</w:t>
            </w:r>
            <w:r>
              <w:rPr>
                <w:spacing w:val="-5"/>
                <w:sz w:val="22"/>
              </w:rPr>
              <w:t> mål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terror/sabotasje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(potensielle)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mål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terror/sabotasje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nærheten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9062" w:type="dxa"/>
            <w:gridSpan w:val="4"/>
            <w:shd w:val="clear" w:color="auto" w:fill="B4C5E7"/>
          </w:tcPr>
          <w:p>
            <w:pPr>
              <w:pStyle w:val="TableParagraph"/>
              <w:spacing w:line="268" w:lineRule="exact"/>
              <w:ind w:left="2370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Brann-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ulykkesberedskap</w:t>
            </w:r>
          </w:p>
        </w:tc>
      </w:tr>
    </w:tbl>
    <w:p>
      <w:pPr>
        <w:spacing w:after="0" w:line="268" w:lineRule="exact"/>
        <w:jc w:val="center"/>
        <w:rPr>
          <w:sz w:val="22"/>
        </w:rPr>
        <w:sectPr>
          <w:type w:val="continuous"/>
          <w:pgSz w:w="11910" w:h="16840"/>
          <w:pgMar w:header="708" w:footer="0" w:top="2200" w:bottom="280" w:left="1300" w:right="1300"/>
        </w:sectPr>
      </w:pPr>
    </w:p>
    <w:p>
      <w:pPr>
        <w:pStyle w:val="BodyText"/>
        <w:spacing w:before="11"/>
        <w:ind w:left="0" w:firstLine="0"/>
        <w:rPr>
          <w:sz w:val="4"/>
          <w:u w:val="none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1639"/>
        <w:gridCol w:w="1615"/>
        <w:gridCol w:w="2969"/>
      </w:tblGrid>
      <w:tr>
        <w:trPr>
          <w:trHeight w:val="805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ind w:left="1212" w:right="119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Fare</w:t>
            </w:r>
          </w:p>
        </w:tc>
        <w:tc>
          <w:tcPr>
            <w:tcW w:w="1639" w:type="dxa"/>
          </w:tcPr>
          <w:p>
            <w:pPr>
              <w:pStyle w:val="TableParagraph"/>
              <w:ind w:left="300" w:right="286" w:firstLine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 faren</w:t>
            </w:r>
            <w:r>
              <w:rPr>
                <w:i/>
                <w:sz w:val="22"/>
              </w:rPr>
              <w:t> relevant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84" w:right="1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planområdet?</w:t>
            </w:r>
          </w:p>
        </w:tc>
        <w:tc>
          <w:tcPr>
            <w:tcW w:w="1615" w:type="dxa"/>
          </w:tcPr>
          <w:p>
            <w:pPr>
              <w:pStyle w:val="TableParagraph"/>
              <w:ind w:left="480" w:right="424" w:hanging="44"/>
              <w:rPr>
                <w:i/>
                <w:sz w:val="22"/>
              </w:rPr>
            </w:pPr>
            <w:r>
              <w:rPr>
                <w:i/>
                <w:sz w:val="22"/>
              </w:rPr>
              <w:t>Faren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vurdert</w:t>
            </w:r>
          </w:p>
        </w:tc>
        <w:tc>
          <w:tcPr>
            <w:tcW w:w="2969" w:type="dxa"/>
          </w:tcPr>
          <w:p>
            <w:pPr>
              <w:pStyle w:val="TableParagraph"/>
              <w:ind w:left="454" w:right="44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tiltak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implementert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plan/bestemmelsene?</w:t>
            </w:r>
          </w:p>
          <w:p>
            <w:pPr>
              <w:pStyle w:val="TableParagraph"/>
              <w:spacing w:line="249" w:lineRule="exact"/>
              <w:ind w:left="452" w:right="44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Hvordan?</w:t>
            </w: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Adkomsten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ikke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tilstrekkelig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nødetatene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Lang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utrykningstid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nødetatene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planområdet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objekter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spesiell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brannfare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planområdet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Utilstrekkelig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slukkevannforsyning</w:t>
            </w: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68" w:lineRule="exact"/>
              <w:ind w:left="508"/>
              <w:rPr>
                <w:sz w:val="22"/>
              </w:rPr>
            </w:pPr>
            <w:r>
              <w:rPr>
                <w:color w:val="808080"/>
                <w:sz w:val="22"/>
              </w:rPr>
              <w:t>Velg</w:t>
            </w:r>
            <w:r>
              <w:rPr>
                <w:color w:val="808080"/>
                <w:spacing w:val="-5"/>
                <w:sz w:val="22"/>
              </w:rPr>
              <w:t> et</w:t>
            </w:r>
          </w:p>
          <w:p>
            <w:pPr>
              <w:pStyle w:val="TableParagraph"/>
              <w:spacing w:line="249" w:lineRule="exact"/>
              <w:ind w:left="42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element.</w:t>
            </w:r>
          </w:p>
        </w:tc>
        <w:tc>
          <w:tcPr>
            <w:tcW w:w="1615" w:type="dxa"/>
          </w:tcPr>
          <w:p>
            <w:pPr>
              <w:pStyle w:val="TableParagraph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  <w:rPr>
          <w:sz w:val="20"/>
          <w:u w:val="none"/>
        </w:rPr>
      </w:pPr>
    </w:p>
    <w:p>
      <w:pPr>
        <w:pStyle w:val="BodyText"/>
        <w:spacing w:before="8"/>
        <w:ind w:left="0" w:firstLine="0"/>
        <w:rPr>
          <w:sz w:val="16"/>
          <w:u w:val="none"/>
        </w:rPr>
      </w:pPr>
    </w:p>
    <w:p>
      <w:pPr>
        <w:pStyle w:val="BodyText"/>
        <w:ind w:left="115" w:firstLine="0"/>
        <w:rPr>
          <w:u w:val="none"/>
        </w:rPr>
      </w:pPr>
      <w:r>
        <w:rPr>
          <w:u w:val="none"/>
        </w:rPr>
        <w:t>Nyttige</w:t>
      </w:r>
      <w:r>
        <w:rPr>
          <w:spacing w:val="-2"/>
          <w:u w:val="none"/>
        </w:rPr>
        <w:t> lenker: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7" w:val="left" w:leader="none"/>
        </w:tabs>
        <w:spacing w:line="240" w:lineRule="auto" w:before="185" w:after="0"/>
        <w:ind w:left="836" w:right="0" w:hanging="362"/>
        <w:jc w:val="left"/>
        <w:rPr>
          <w:sz w:val="22"/>
          <w:u w:val="none"/>
        </w:rPr>
      </w:pPr>
      <w:hyperlink r:id="rId6">
        <w:r>
          <w:rPr>
            <w:color w:val="0562C1"/>
            <w:sz w:val="22"/>
            <w:u w:val="single" w:color="0562C1"/>
          </w:rPr>
          <w:t>Skrednett</w:t>
        </w:r>
      </w:hyperlink>
      <w:r>
        <w:rPr>
          <w:color w:val="0562C1"/>
          <w:spacing w:val="-7"/>
          <w:sz w:val="22"/>
          <w:u w:val="none"/>
        </w:rPr>
        <w:t> </w:t>
      </w:r>
      <w:r>
        <w:rPr>
          <w:sz w:val="22"/>
          <w:u w:val="none"/>
        </w:rPr>
        <w:t>og</w:t>
      </w:r>
      <w:r>
        <w:rPr>
          <w:spacing w:val="-4"/>
          <w:sz w:val="22"/>
          <w:u w:val="none"/>
        </w:rPr>
        <w:t> </w:t>
      </w:r>
      <w:hyperlink r:id="rId7">
        <w:r>
          <w:rPr>
            <w:color w:val="0562C1"/>
            <w:sz w:val="22"/>
            <w:u w:val="single" w:color="0562C1"/>
          </w:rPr>
          <w:t>informasjon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om</w:t>
        </w:r>
        <w:r>
          <w:rPr>
            <w:color w:val="0562C1"/>
            <w:spacing w:val="-2"/>
            <w:sz w:val="22"/>
            <w:u w:val="single" w:color="0562C1"/>
          </w:rPr>
          <w:t> skredhendelser</w:t>
        </w:r>
      </w:hyperlink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2"/>
        <w:jc w:val="left"/>
        <w:rPr>
          <w:sz w:val="22"/>
          <w:u w:val="none"/>
        </w:rPr>
      </w:pPr>
      <w:hyperlink r:id="rId8">
        <w:r>
          <w:rPr>
            <w:color w:val="0562C1"/>
            <w:sz w:val="22"/>
            <w:u w:val="single" w:color="0562C1"/>
          </w:rPr>
          <w:t>Atlas</w:t>
        </w:r>
      </w:hyperlink>
      <w:r>
        <w:rPr>
          <w:color w:val="0562C1"/>
          <w:spacing w:val="-1"/>
          <w:sz w:val="22"/>
          <w:u w:val="none"/>
        </w:rPr>
        <w:t> </w:t>
      </w:r>
      <w:r>
        <w:rPr>
          <w:sz w:val="22"/>
          <w:u w:val="none"/>
        </w:rPr>
        <w:t>for</w:t>
      </w:r>
      <w:r>
        <w:rPr>
          <w:spacing w:val="-3"/>
          <w:sz w:val="22"/>
          <w:u w:val="none"/>
        </w:rPr>
        <w:t> </w:t>
      </w:r>
      <w:r>
        <w:rPr>
          <w:spacing w:val="-2"/>
          <w:sz w:val="22"/>
          <w:u w:val="none"/>
        </w:rPr>
        <w:t>flomhendelser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2"/>
        <w:jc w:val="left"/>
        <w:rPr>
          <w:sz w:val="22"/>
          <w:u w:val="none"/>
        </w:rPr>
      </w:pPr>
      <w:hyperlink r:id="rId9">
        <w:r>
          <w:rPr>
            <w:color w:val="0562C1"/>
            <w:sz w:val="22"/>
            <w:u w:val="single" w:color="0562C1"/>
          </w:rPr>
          <w:t>Informasjon</w:t>
        </w:r>
        <w:r>
          <w:rPr>
            <w:color w:val="0562C1"/>
            <w:spacing w:val="-7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om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pacing w:val="-2"/>
            <w:sz w:val="22"/>
            <w:u w:val="single" w:color="0562C1"/>
          </w:rPr>
          <w:t>grunnforhold</w:t>
        </w:r>
      </w:hyperlink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2"/>
        <w:jc w:val="left"/>
        <w:rPr>
          <w:sz w:val="22"/>
          <w:u w:val="none"/>
        </w:rPr>
      </w:pPr>
      <w:hyperlink r:id="rId10">
        <w:r>
          <w:rPr>
            <w:color w:val="0562C1"/>
            <w:sz w:val="22"/>
            <w:u w:val="single" w:color="0562C1"/>
          </w:rPr>
          <w:t>Tilpasning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til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klimaendringer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i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Larvik</w:t>
        </w:r>
        <w:r>
          <w:rPr>
            <w:color w:val="0562C1"/>
            <w:spacing w:val="-6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og</w:t>
        </w:r>
        <w:r>
          <w:rPr>
            <w:color w:val="0562C1"/>
            <w:spacing w:val="-6"/>
            <w:sz w:val="22"/>
            <w:u w:val="single" w:color="0562C1"/>
          </w:rPr>
          <w:t> </w:t>
        </w:r>
        <w:r>
          <w:rPr>
            <w:color w:val="0562C1"/>
            <w:spacing w:val="-2"/>
            <w:sz w:val="22"/>
            <w:u w:val="single" w:color="0562C1"/>
          </w:rPr>
          <w:t>Lardal</w:t>
        </w:r>
      </w:hyperlink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2"/>
        <w:jc w:val="left"/>
        <w:rPr>
          <w:sz w:val="22"/>
          <w:u w:val="none"/>
        </w:rPr>
      </w:pPr>
      <w:hyperlink r:id="rId11">
        <w:r>
          <w:rPr>
            <w:color w:val="0562C1"/>
            <w:sz w:val="22"/>
            <w:u w:val="single" w:color="0562C1"/>
          </w:rPr>
          <w:t>VA-norm</w:t>
        </w:r>
      </w:hyperlink>
      <w:r>
        <w:rPr>
          <w:color w:val="0562C1"/>
          <w:spacing w:val="-3"/>
          <w:sz w:val="22"/>
          <w:u w:val="none"/>
        </w:rPr>
        <w:t> </w:t>
      </w:r>
      <w:r>
        <w:rPr>
          <w:sz w:val="22"/>
          <w:u w:val="none"/>
        </w:rPr>
        <w:t>for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overvannshåndtering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2"/>
        <w:jc w:val="left"/>
        <w:rPr>
          <w:sz w:val="22"/>
          <w:u w:val="none"/>
        </w:rPr>
      </w:pPr>
      <w:hyperlink r:id="rId12">
        <w:r>
          <w:rPr>
            <w:color w:val="0562C1"/>
            <w:sz w:val="22"/>
            <w:u w:val="single" w:color="0562C1"/>
          </w:rPr>
          <w:t>Veileder</w:t>
        </w:r>
      </w:hyperlink>
      <w:r>
        <w:rPr>
          <w:color w:val="0562C1"/>
          <w:spacing w:val="-7"/>
          <w:sz w:val="22"/>
          <w:u w:val="none"/>
        </w:rPr>
        <w:t> </w:t>
      </w:r>
      <w:r>
        <w:rPr>
          <w:sz w:val="22"/>
          <w:u w:val="none"/>
        </w:rPr>
        <w:t>til</w:t>
      </w:r>
      <w:r>
        <w:rPr>
          <w:spacing w:val="-2"/>
          <w:sz w:val="22"/>
          <w:u w:val="none"/>
        </w:rPr>
        <w:t> storulykkeforskriften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8" w:after="0"/>
        <w:ind w:left="836" w:right="0" w:hanging="362"/>
        <w:jc w:val="left"/>
        <w:rPr>
          <w:sz w:val="22"/>
          <w:u w:val="none"/>
        </w:rPr>
      </w:pPr>
      <w:r>
        <w:rPr>
          <w:sz w:val="22"/>
          <w:u w:val="none"/>
        </w:rPr>
        <w:t>DSBs</w:t>
      </w:r>
      <w:r>
        <w:rPr>
          <w:spacing w:val="-4"/>
          <w:sz w:val="22"/>
          <w:u w:val="none"/>
        </w:rPr>
        <w:t> </w:t>
      </w:r>
      <w:hyperlink r:id="rId13">
        <w:r>
          <w:rPr>
            <w:color w:val="0562C1"/>
            <w:spacing w:val="-2"/>
            <w:sz w:val="22"/>
            <w:u w:val="single" w:color="0562C1"/>
          </w:rPr>
          <w:t>kartløsning</w:t>
        </w:r>
      </w:hyperlink>
    </w:p>
    <w:sectPr>
      <w:pgSz w:w="11910" w:h="16840"/>
      <w:pgMar w:header="708" w:footer="0" w:top="21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487149056">
          <wp:simplePos x="0" y="0"/>
          <wp:positionH relativeFrom="page">
            <wp:posOffset>1052195</wp:posOffset>
          </wp:positionH>
          <wp:positionV relativeFrom="page">
            <wp:posOffset>449578</wp:posOffset>
          </wp:positionV>
          <wp:extent cx="18288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533" w:hanging="361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226" w:hanging="361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5919" w:hanging="361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6766" w:hanging="361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7613" w:hanging="361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>
      <w:ind w:left="836" w:hanging="362"/>
    </w:pPr>
    <w:rPr>
      <w:rFonts w:ascii="Calibri" w:hAnsi="Calibri" w:eastAsia="Calibri" w:cs="Calibri"/>
      <w:sz w:val="22"/>
      <w:szCs w:val="22"/>
      <w:u w:val="single" w:color="000000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15"/>
    </w:pPr>
    <w:rPr>
      <w:rFonts w:ascii="Calibri Light" w:hAnsi="Calibri Light" w:eastAsia="Calibri Light" w:cs="Calibri Light"/>
      <w:sz w:val="52"/>
      <w:szCs w:val="52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36" w:hanging="362"/>
    </w:pPr>
    <w:rPr>
      <w:rFonts w:ascii="Calibri" w:hAnsi="Calibri" w:eastAsia="Calibri" w:cs="Calibri"/>
      <w:u w:val="single" w:color="000000"/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nve.no/naturfare/laer-om-naturfare/om-skred/skredhendingar/" TargetMode="External"/><Relationship Id="rId7" Type="http://schemas.openxmlformats.org/officeDocument/2006/relationships/hyperlink" Target="http://publikasjoner.nve.no/faktaark/2013/faktaark2013_02.pdf" TargetMode="External"/><Relationship Id="rId8" Type="http://schemas.openxmlformats.org/officeDocument/2006/relationships/hyperlink" Target="https://atlas.nve.no/Html5Viewer/index.html?viewer=nveatlas" TargetMode="External"/><Relationship Id="rId9" Type="http://schemas.openxmlformats.org/officeDocument/2006/relationships/hyperlink" Target="https://geo.ngu.no/kart/losmasse_mobil/" TargetMode="External"/><Relationship Id="rId10" Type="http://schemas.openxmlformats.org/officeDocument/2006/relationships/hyperlink" Target="https://www.larvik.kommune.no/natur-og-miljoe/klima-og-energi/klimaendringer-i-larvik-pilotprosjekt/" TargetMode="External"/><Relationship Id="rId11" Type="http://schemas.openxmlformats.org/officeDocument/2006/relationships/hyperlink" Target="https://www.larvik.kommune.no/media/9266/va-norm-2021-endelig.pdf" TargetMode="External"/><Relationship Id="rId12" Type="http://schemas.openxmlformats.org/officeDocument/2006/relationships/hyperlink" Target="https://www.dsb.no/lover/farlige-stoffer/veiledning-til-forskrift/veiledning-til-storulykkeforskriften/" TargetMode="External"/><Relationship Id="rId13" Type="http://schemas.openxmlformats.org/officeDocument/2006/relationships/hyperlink" Target="https://kart.dsb.no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LK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Pedersen</dc:creator>
  <dc:description/>
  <dcterms:created xsi:type="dcterms:W3CDTF">2023-02-16T13:35:51Z</dcterms:created>
  <dcterms:modified xsi:type="dcterms:W3CDTF">2023-02-16T13:35:51Z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D:20230130122303</vt:lpwstr>
  </property>
</Properties>
</file>